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400"/>
        <w:jc w:val="left"/>
      </w:pPr>
      <w:r>
        <w:rPr>
          <w:rFonts w:ascii="Arial Black" w:hAnsi="Arial Black"/>
          <w:b/>
          <w:color w:val="1B1B1B"/>
          <w:sz w:val="68"/>
        </w:rPr>
        <w:t>SQUAD</w:t>
        <w:br/>
        <w:t>PROD</w:t>
      </w:r>
    </w:p>
    <w:p>
      <w:pPr>
        <w:spacing w:before="360"/>
      </w:pPr>
      <w:r>
        <w:rPr>
          <w:rFonts w:ascii="Arial" w:hAnsi="Arial"/>
          <w:b/>
          <w:color w:val="F03434"/>
          <w:sz w:val="60"/>
        </w:rPr>
        <w:t>BRIEF DE PRODUCTION VIDÉO</w:t>
      </w:r>
    </w:p>
    <w:p>
      <w:pPr>
        <w:pStyle w:val="Subtitle"/>
      </w:pPr>
      <w:r>
        <w:rPr>
          <w:rFonts w:ascii="Arial" w:hAnsi="Arial"/>
          <w:color w:val="1B1B1B"/>
          <w:sz w:val="30"/>
        </w:rPr>
        <w:t>Modèle de planification modifiable pour marques et organisations au Maroc</w:t>
      </w:r>
    </w:p>
    <w:p>
      <w:pPr>
        <w:spacing w:before="900"/>
      </w:pPr>
      <w:r>
        <w:rPr>
          <w:sz w:val="22"/>
        </w:rPr>
        <w:t>Utilisez ce document avant de demander un devis ferme. Complétez les informations connues, signalez les hypothèses et désignez un validateur final. Un brief solide fiabilise concepts, planning, droits et livrables.</w:t>
      </w:r>
    </w:p>
    <w:p>
      <w:pPr>
        <w:spacing w:before="1100"/>
      </w:pPr>
      <w:r>
        <w:rPr>
          <w:b/>
          <w:color w:val="666666"/>
          <w:sz w:val="18"/>
        </w:rPr>
        <w:t>VERSION 1.0  /  AOÛT 2026</w:t>
      </w:r>
    </w:p>
    <w:p>
      <w:r>
        <w:br w:type="page"/>
      </w:r>
    </w:p>
    <w:p>
      <w:pPr>
        <w:pStyle w:val="Heading1"/>
      </w:pPr>
      <w:r>
        <w:rPr>
          <w:b/>
        </w:rPr>
        <w:t>Comment utiliser ce brief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0E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rFonts w:ascii="Arial" w:hAnsi="Arial"/>
                <w:b/>
                <w:color w:val="F03434"/>
                <w:sz w:val="22"/>
              </w:rPr>
              <w:t>Trois règles</w:t>
              <w:br/>
            </w:r>
            <w:r>
              <w:rPr>
                <w:rFonts w:ascii="Arial" w:hAnsi="Arial"/>
                <w:color w:val="1B1B1B"/>
                <w:sz w:val="18"/>
              </w:rPr>
              <w:t>1. Décrire la décision business avant le style visuel.  2. Séparer faits confirmés et hypothèses.  3. Une seule personne consolide les retours et valide.</w:t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Score de préparation sur 24</w:t>
      </w:r>
    </w:p>
    <w:p>
      <w:r>
        <w:t>Noter chaque décision : 0 = inconnue, 1 = partiellement définie, 2 = confirmée. Sous 16/24, privilégier une phase de découverte plutôt qu’un devis ferme. 16–19 permet une estimation provisoire. 20–24 permet généralement un traitement et un planning fiable. Outil SQUADPROD, pas norme sectorielle.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92"/>
        <w:gridCol w:w="1008"/>
        <w:gridCol w:w="6048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Décision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Score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Confirmé / manquant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Objectif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Audience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Message unique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Action attendue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Plateformes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Livrables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Langues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Preuves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Limites créatives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Droits d’usage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Calendrier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  <w:tr>
        <w:tc>
          <w:tcPr>
            <w:tcW w:type="dxa" w:w="259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Validateur final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0 / 1 / 2</w:t>
            </w:r>
          </w:p>
        </w:tc>
        <w:tc>
          <w:tcPr>
            <w:tcW w:type="dxa" w:w="604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Notes: __________________________________</w:t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TOTAL / 24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 / 24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01  </w:t>
      </w:r>
      <w:r>
        <w:rPr>
          <w:b/>
        </w:rPr>
        <w:t>Projet et responsabilités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Nom du projet / campagne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Entreprise / marque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Responsable projet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Nom, rôle, e-mail, téléphone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Validateur final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Une seule personne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Contributeurs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Marketing, vente, juridique, opérations, agence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Contact production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Date de lancement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Fourchette budget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Dhs 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Objectif et décision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Après visionnage, l’audience doit...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Résultat business / KPI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Qualified leads, bookings, applications, awareness, sales support...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Problème actuel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02  </w:t>
      </w:r>
      <w:r>
        <w:rPr>
          <w:b/>
        </w:rPr>
        <w:t>Audience, message et preuves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Audience principale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Role, situation, geography, language, awareness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Ce qu’elle veut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Objection / crainte principale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Message unique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Si le public retient une seule idée...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Action attendue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Book, contact, visit, apply, understand, trust...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Inventaire des preuves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48"/>
        <w:gridCol w:w="4032"/>
        <w:gridCol w:w="1872"/>
        <w:gridCol w:w="1008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Preuve / affirmation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Élément disponible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Responsable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Validé ?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1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2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3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4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2448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5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7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03  </w:t>
      </w:r>
      <w:r>
        <w:rPr>
          <w:b/>
        </w:rPr>
        <w:t>Canaux et livrables</w:t>
      </w:r>
    </w:p>
    <w:p>
      <w:r>
        <w:t>Définir chaque fichier avant le tournage. Un « film master » n’est pas un plan de diffusion complet.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84"/>
        <w:gridCol w:w="2304"/>
        <w:gridCol w:w="1008"/>
        <w:gridCol w:w="1008"/>
        <w:gridCol w:w="1800"/>
        <w:gridCol w:w="1296"/>
      </w:tblGrid>
      <w:tr>
        <w:trPr>
          <w:tblHeader w:val="true"/>
        </w:trPr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Canal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Audience / objectif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Ratio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Durée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Langue / sous-titres</w:t>
            </w:r>
          </w:p>
        </w:tc>
        <w:tc>
          <w:tcPr>
            <w:tcW w:type="dxa" w:w="1728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CTA</w:t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Website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16:9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Instagram / Facebook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TikTok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LinkedIn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1:1 / 4:5 / 16:9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YouTube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16:9 / 9:16</w:t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5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Other</w:t>
            </w:r>
          </w:p>
        </w:tc>
        <w:tc>
          <w:tcPr>
            <w:tcW w:type="dxa" w:w="230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0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8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2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Liste des fichiers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12"/>
        <w:gridCol w:w="4896"/>
        <w:gridCol w:w="1152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Livrable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Quantité / specs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Requis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Film master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Formats courts verticaux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Formats courts horizontaux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Masters propres (sans texte)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Exports sous-titrés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Fichiers SRT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Vignettes / covers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Photos montées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  <w:tr>
        <w:tc>
          <w:tcPr>
            <w:tcW w:type="dxa" w:w="3312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Rushes / archive projet</w:t>
            </w:r>
          </w:p>
        </w:tc>
        <w:tc>
          <w:tcPr>
            <w:tcW w:type="dxa" w:w="489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[ ]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04  </w:t>
      </w:r>
      <w:r>
        <w:rPr>
          <w:b/>
        </w:rPr>
        <w:t>Direction créative et langues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Ton et personnalité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Premium, direct, chaleureux, documentaire, énergique...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Références visuelles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2–4 links + what is useful in each</w:t>
            </w:r>
            <w:r>
              <w:rPr>
                <w:color w:val="666666"/>
              </w:rPr>
              <w:br/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Ce qui ne doit pas être copié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Règles de marque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Logo, colours, typography, product display, claims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2736"/>
        <w:gridCol w:w="3600"/>
        <w:gridCol w:w="1584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Langue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Audience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Usage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Master séparé ?</w:t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Darija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voice-over / captions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Français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voix-off / sous-titres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Arabe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voix-off / sous-titres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Anglais</w:t>
            </w:r>
          </w:p>
        </w:tc>
        <w:tc>
          <w:tcPr>
            <w:tcW w:type="dxa" w:w="2736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Performance / voice-over / captions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Banque de hooks et CTA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40"/>
        <w:gridCol w:w="4320"/>
        <w:gridCol w:w="3600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Élément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Formulation exacte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Preuve / destination</w:t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1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2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Hook 3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CTA 1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144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CTA 2</w:t>
            </w:r>
          </w:p>
        </w:tc>
        <w:tc>
          <w:tcPr>
            <w:tcW w:type="dxa" w:w="432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360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05  </w:t>
      </w:r>
      <w:r>
        <w:rPr>
          <w:b/>
        </w:rPr>
        <w:t>Réalité de production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Lieux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Adresse, propriétaire, horaires, parking, son, énergie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Personnes à l’image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Noms, rôles, disponibilités, consentement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Produits / accessoires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Modèles, quantités, préparation, secours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Process opérationnels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Que peut-on réellement filmer ?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Voyage / logistique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Villes, transferts, hébergement, accès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Drone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Fonction du plan, coordonnées, import/autorisation, secours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Dépendance météo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Seuils, jour réserve, alternative intérieure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Informations sensibles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Écrans, dossiers, patients, employés, zones confidentielles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06  </w:t>
      </w:r>
      <w:r>
        <w:rPr>
          <w:b/>
        </w:rPr>
        <w:t>Droits, validations et calendrier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160"/>
        <w:gridCol w:w="4608"/>
        <w:gridCol w:w="1584"/>
        <w:gridCol w:w="1152"/>
      </w:tblGrid>
      <w:tr>
        <w:trPr>
          <w:tblHeader w:val="true"/>
        </w:trPr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Droit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Périmètre requis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Responsable</w:t>
            </w:r>
          </w:p>
        </w:tc>
        <w:tc>
          <w:tcPr>
            <w:tcW w:type="dxa" w:w="2592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Confirmé</w:t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Image talents / employés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Territoire, durée, médias, paid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Lieu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Tournage, aérien, marques, horaires, remise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Musique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Titre / bibliothèque, territoire, durée, paid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Archives / médias tiers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Source, propriétaire, licence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16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Produit / marques</w:t>
            </w:r>
          </w:p>
        </w:tc>
        <w:tc>
          <w:tcPr>
            <w:tcW w:type="dxa" w:w="460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  <w:t>Validation et restrictions</w:t>
            </w:r>
          </w:p>
        </w:tc>
        <w:tc>
          <w:tcPr>
            <w:tcW w:type="dxa" w:w="15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115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Étapes de validation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56"/>
        <w:gridCol w:w="3168"/>
        <w:gridCol w:w="2880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Étape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Validateur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Délai de réponse</w:t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Brief verrouillé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Traitement / concept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Script / storyboard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Planning / feuille de service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Premier montage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Picture lock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3456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Masters finaux</w:t>
            </w:r>
          </w:p>
        </w:tc>
        <w:tc>
          <w:tcPr>
            <w:tcW w:type="dxa" w:w="3168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880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Nombre maximal de retours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Date de lancement et dépendances fixes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r>
        <w:br w:type="page"/>
      </w:r>
    </w:p>
    <w:p>
      <w:pPr>
        <w:pStyle w:val="Heading1"/>
      </w:pPr>
      <w:r>
        <w:rPr>
          <w:b/>
          <w:color w:val="F03434"/>
        </w:rPr>
        <w:t xml:space="preserve">07  </w:t>
      </w:r>
      <w:r>
        <w:rPr>
          <w:b/>
        </w:rPr>
        <w:t>Budget et succès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Fourchette disponible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Dhs 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Résultat non négociable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________________________________________________________________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Éléments pouvant être réduits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Lieux, versions, talents, durée, direction artistique, voyage...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6768"/>
      </w:tblGrid>
      <w:tr>
        <w:tc>
          <w:tcPr>
            <w:tcW w:type="dxa" w:w="5184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8"/>
              </w:rPr>
              <w:t>Options possibles</w:t>
            </w:r>
          </w:p>
        </w:tc>
        <w:tc>
          <w:tcPr>
            <w:tcW w:type="dxa" w:w="5184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666666"/>
                <w:sz w:val="18"/>
              </w:rPr>
              <w:t>Drone, motion design, langue supplémentaire, photos, jour réserve...</w:t>
            </w:r>
            <w:r>
              <w:rPr>
                <w:color w:val="666666"/>
              </w:rPr>
              <w:br/>
              <w:t>________________________________________________________________</w:t>
            </w:r>
          </w:p>
        </w:tc>
      </w:tr>
    </w:tbl>
    <w:p>
      <w:pPr>
        <w:spacing w:after="20"/>
      </w:pPr>
    </w:p>
    <w:p>
      <w:pPr>
        <w:pStyle w:val="Heading2"/>
      </w:pPr>
      <w:r>
        <w:rPr>
          <w:b/>
        </w:rPr>
        <w:t>Plan de mesure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4032"/>
        <w:gridCol w:w="2592"/>
      </w:tblGrid>
      <w:tr>
        <w:trPr>
          <w:tblHeader w:val="true"/>
        </w:trPr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Indicateur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Définition</w:t>
            </w:r>
          </w:p>
        </w:tc>
        <w:tc>
          <w:tcPr>
            <w:tcW w:type="dxa" w:w="3456"/>
            <w:shd w:fill="1B1B1B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FFFFFF"/>
                <w:sz w:val="16"/>
              </w:rPr>
              <w:t>Où mesurer</w:t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KPI business principal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KPI secondaire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Responsable mesure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Période de mesure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  <w:tr>
        <w:tc>
          <w:tcPr>
            <w:tcW w:type="dxa" w:w="2880"/>
            <w:shd w:fill="F3F1EE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/>
                <w:color w:val="1B1B1B"/>
                <w:sz w:val="16"/>
              </w:rPr>
              <w:t>Référence / objectif</w:t>
            </w:r>
          </w:p>
        </w:tc>
        <w:tc>
          <w:tcPr>
            <w:tcW w:type="dxa" w:w="403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  <w:tc>
          <w:tcPr>
            <w:tcW w:type="dxa" w:w="2592"/>
            <w:vAlign w:val="center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/>
            <w:r>
              <w:rPr>
                <w:rFonts w:ascii="Arial" w:hAnsi="Arial"/>
                <w:b w:val="0"/>
                <w:color w:val="1B1B1B"/>
                <w:sz w:val="16"/>
              </w:rPr>
            </w:r>
          </w:p>
        </w:tc>
      </w:tr>
    </w:tbl>
    <w:p>
      <w:pPr>
        <w:spacing w:after="40"/>
      </w:pPr>
    </w:p>
    <w:p>
      <w:pPr>
        <w:pStyle w:val="Heading2"/>
      </w:pPr>
      <w:r>
        <w:rPr>
          <w:b/>
        </w:rPr>
        <w:t>Checklist finale prête pour production</w:t>
      </w:r>
    </w:p>
    <w:p>
      <w:pPr>
        <w:pStyle w:val="ListBullet"/>
      </w:pPr>
      <w:r>
        <w:t>[ ] Une audience et une action</w:t>
      </w:r>
    </w:p>
    <w:p>
      <w:pPr>
        <w:pStyle w:val="ListBullet"/>
      </w:pPr>
      <w:r>
        <w:t>[ ] Message unique et preuves validées</w:t>
      </w:r>
    </w:p>
    <w:p>
      <w:pPr>
        <w:pStyle w:val="ListBullet"/>
      </w:pPr>
      <w:r>
        <w:t>[ ] Fichiers exacts par ratio, durée et langue</w:t>
      </w:r>
    </w:p>
    <w:p>
      <w:pPr>
        <w:pStyle w:val="ListBullet"/>
      </w:pPr>
      <w:r>
        <w:t>[ ] Lieux, personnes et produits confirmés</w:t>
      </w:r>
    </w:p>
    <w:p>
      <w:pPr>
        <w:pStyle w:val="ListBullet"/>
      </w:pPr>
      <w:r>
        <w:t>[ ] Droits et consentements confirmés</w:t>
      </w:r>
    </w:p>
    <w:p>
      <w:pPr>
        <w:pStyle w:val="ListBullet"/>
      </w:pPr>
      <w:r>
        <w:t>[ ] Budget et exclusions clairs</w:t>
      </w:r>
    </w:p>
    <w:p>
      <w:pPr>
        <w:pStyle w:val="ListBullet"/>
      </w:pPr>
      <w:r>
        <w:t>[ ] Un validateur et délais de retours</w:t>
      </w:r>
    </w:p>
    <w:p>
      <w:pPr>
        <w:pStyle w:val="ListBullet"/>
      </w:pPr>
      <w:r>
        <w:t>[ ] Secours météo, accès et drone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368"/>
      </w:tblGrid>
      <w:tr>
        <w:tc>
          <w:tcPr>
            <w:tcW w:type="dxa" w:w="10368"/>
            <w:shd w:fill="FFF0EF"/>
            <w:tcMar>
              <w:top w:w="180" w:type="dxa"/>
              <w:start w:w="220" w:type="dxa"/>
              <w:bottom w:w="180" w:type="dxa"/>
              <w:end w:w="220" w:type="dxa"/>
            </w:tcMar>
          </w:tcPr>
          <w:p>
            <w:r>
              <w:rPr>
                <w:rFonts w:ascii="Arial" w:hAnsi="Arial"/>
                <w:b/>
                <w:color w:val="F03434"/>
                <w:sz w:val="22"/>
              </w:rPr>
              <w:t>Prêt pour la production ?</w:t>
              <w:br/>
            </w:r>
            <w:r>
              <w:rPr>
                <w:rFonts w:ascii="Arial" w:hAnsi="Arial"/>
                <w:color w:val="1B1B1B"/>
                <w:sz w:val="18"/>
              </w:rPr>
              <w:t>Le brief est prêt lorsque les inconnues sont visibles, pas lorsque chaque ligne est remplie. Partagez-le avec la production, confirmez les hypothèses et verrouillez la version utilisée pour le devis.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66666"/>
        <w:sz w:val="14"/>
      </w:rPr>
      <w:t>www.squadprod.ma  |  contact@squadprod.ma  |  +212 660-340342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F03434"/>
        <w:sz w:val="22"/>
      </w:rPr>
      <w:t>SQUADPROD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rial" w:hAnsi="Arial"/>
      <w:color w:val="1B1B1B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B1B1B"/>
      <w:sz w:val="3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1B1B1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1B1B1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SQUADPROD - Modèle de Brief de Production Vidéo</dc:title>
  <dc:subject>Modèle de planification de production audiovisuelle au Maroc</dc:subject>
  <dc:creator>SQUADPROD</dc:creator>
  <cp:keywords>brief production vidéo, Maroc, SQUADPROD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